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text" w:tblpY="2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9570"/>
      </w:tblGrid>
      <w:tr>
        <w:trPr>
          <w:trHeight w:val="4312"/>
        </w:trPr>
        <w:tc>
          <w:tcPr>
            <w:tcW w:w="9747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rFonts w:eastAsia="Calibri"/>
              </w:rPr>
              <w:tab/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4648200</wp:posOffset>
                      </wp:positionH>
                      <wp:positionV relativeFrom="paragraph">
                        <wp:posOffset>300057</wp:posOffset>
                      </wp:positionV>
                      <wp:extent cx="1233805" cy="974725"/>
                      <wp:effectExtent l="3810" t="0" r="635" b="0"/>
                      <wp:wrapNone/>
                      <wp:docPr id="1" name="Поле 4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804" cy="9747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</w:r>
                                  <w:r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style="position:absolute;mso-wrap-distance-left:9.0pt;mso-wrap-distance-top:0.0pt;mso-wrap-distance-right:9.0pt;mso-wrap-distance-bottom:0.0pt;z-index:251660288;o:allowoverlap:true;o:allowincell:true;mso-position-horizontal-relative:text;margin-left:366.0pt;mso-position-horizontal:absolute;mso-position-vertical-relative:text;margin-top:23.6pt;mso-position-vertical:absolute;width:97.1pt;height:76.8pt;v-text-anchor:top;" coordsize="100000,100000" path="" fillcolor="#FFFFFF" stroked="f">
                      <v:path textboxrect="0,0,0,0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6890" cy="617220"/>
                      <wp:effectExtent l="0" t="0" r="0" b="0"/>
                      <wp:docPr id="2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6890" cy="6172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mso-wrap-distance-left:0.0pt;mso-wrap-distance-top:0.0pt;mso-wrap-distance-right:0.0pt;mso-wrap-distance-bottom:0.0pt;width:40.7pt;height:48.6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/>
          </w:p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tabs>
                <w:tab w:val="center" w:pos="4677" w:leader="none"/>
                <w:tab w:val="left" w:pos="7890" w:leader="none"/>
              </w:tabs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>
              <w:rPr>
                <w:b/>
                <w:bCs/>
                <w:iCs/>
                <w:sz w:val="28"/>
                <w:szCs w:val="28"/>
              </w:rPr>
              <w:tab/>
              <w:t xml:space="preserve">РОССИЙСКАЯ ФЕДЕРАЦИЯ</w:t>
            </w:r>
            <w:r>
              <w:rPr>
                <w:b/>
                <w:bCs/>
                <w:iCs/>
                <w:sz w:val="28"/>
                <w:szCs w:val="28"/>
              </w:rPr>
              <w:tab/>
            </w:r>
            <w:r/>
          </w:p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БЕЛГОРОДСКАЯ ОБЛАСТЬ</w:t>
            </w:r>
            <w:r/>
          </w:p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СОВЕТ ДЕПУТАТОВ</w:t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НОВООСКОЛЬСКОГО ГОРОДСКОГО ОКРУГА</w:t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/>
          </w:p>
          <w:p>
            <w:pPr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 xml:space="preserve"> Сорок первое </w:t>
            </w:r>
            <w:r>
              <w:rPr>
                <w:bCs/>
                <w:iCs/>
                <w:sz w:val="20"/>
              </w:rPr>
              <w:t xml:space="preserve">заседание Совета депутатов  Новооскольского </w:t>
            </w:r>
            <w:r>
              <w:rPr>
                <w:bCs/>
                <w:iCs/>
                <w:sz w:val="20"/>
              </w:rPr>
              <w:t xml:space="preserve">муниципального</w:t>
            </w:r>
            <w:r>
              <w:rPr>
                <w:bCs/>
                <w:iCs/>
                <w:sz w:val="20"/>
              </w:rPr>
              <w:t xml:space="preserve"> округа Белгородской области второго созыва</w:t>
            </w:r>
            <w:r>
              <w:rPr>
                <w:sz w:val="20"/>
              </w:rPr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/>
          </w:p>
          <w:p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Р Е Ш Е Н И Е</w:t>
            </w:r>
            <w:r/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/>
          </w:p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26 декабря 2025 года                                                                                                            №  454</w:t>
            </w:r>
            <w:r/>
          </w:p>
          <w:p>
            <w:pPr>
              <w:jc w:val="center"/>
              <w:widowControl w:val="off"/>
              <w:rPr>
                <w:b/>
                <w:bCs/>
                <w:iCs/>
                <w:sz w:val="28"/>
                <w:szCs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widowControl w:val="off"/>
              <w:rPr>
                <w:b/>
                <w:bCs/>
                <w:iCs/>
                <w:sz w:val="28"/>
                <w:szCs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  <w:p>
            <w:pPr>
              <w:widowControl w:val="off"/>
              <w:rPr>
                <w:b/>
                <w:bCs/>
                <w:iCs/>
                <w:sz w:val="28"/>
                <w:szCs w:val="28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iCs/>
                <w:sz w:val="28"/>
                <w:szCs w:val="28"/>
              </w:rPr>
            </w:r>
            <w:r/>
          </w:p>
        </w:tc>
      </w:tr>
    </w:tbl>
    <w:p>
      <w:pPr>
        <w:pStyle w:val="891"/>
        <w:ind w:right="49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внесении изменений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и дополнений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 xml:space="preserve">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решение Совета депутатов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 округа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от 24 июня 2025 года</w:t>
      </w:r>
      <w:r>
        <w:rPr>
          <w:rFonts w:ascii="Times New Roman" w:hAnsi="Times New Roman" w:cs="Times New Roman"/>
          <w:b/>
          <w:sz w:val="26"/>
          <w:szCs w:val="26"/>
        </w:rPr>
        <w:t xml:space="preserve"> № 384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/>
    </w:p>
    <w:p>
      <w:pPr>
        <w:pStyle w:val="89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Руководствуясь статьями 8, 29.2, 29.4 Градостроительного кодекса Р</w:t>
      </w:r>
      <w:r>
        <w:rPr>
          <w:bCs/>
          <w:sz w:val="26"/>
          <w:szCs w:val="26"/>
        </w:rPr>
        <w:t xml:space="preserve">оссийской Федерации</w:t>
      </w:r>
      <w:r>
        <w:rPr>
          <w:bCs/>
          <w:sz w:val="26"/>
          <w:szCs w:val="26"/>
        </w:rPr>
        <w:t xml:space="preserve">, Федеральным законом от 6 октября 2003 года № 131-ФЗ «Об общих принципах организации местного самоупра</w:t>
      </w:r>
      <w:r>
        <w:rPr>
          <w:bCs/>
          <w:sz w:val="26"/>
          <w:szCs w:val="26"/>
        </w:rPr>
        <w:t xml:space="preserve">вления в Российской Федерации» </w:t>
      </w:r>
      <w:r>
        <w:rPr>
          <w:b/>
          <w:sz w:val="26"/>
          <w:szCs w:val="26"/>
        </w:rPr>
        <w:t xml:space="preserve">Совет депутатов </w:t>
      </w:r>
      <w:r>
        <w:rPr>
          <w:b/>
          <w:sz w:val="26"/>
          <w:szCs w:val="26"/>
        </w:rPr>
        <w:t xml:space="preserve">Новооскольского</w:t>
      </w:r>
      <w:r>
        <w:rPr>
          <w:b/>
          <w:sz w:val="26"/>
          <w:szCs w:val="26"/>
        </w:rPr>
        <w:t xml:space="preserve"> муниципального округа</w:t>
      </w:r>
      <w:r>
        <w:rPr>
          <w:b/>
          <w:sz w:val="26"/>
          <w:szCs w:val="26"/>
        </w:rPr>
        <w:t xml:space="preserve"> Белгородской области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р е ш и л: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b w:val="false"/>
          <w:bCs/>
          <w:sz w:val="26"/>
          <w:szCs w:val="26"/>
        </w:rPr>
        <w:t xml:space="preserve">1</w:t>
      </w:r>
      <w:r>
        <w:rPr>
          <w:b/>
          <w:bCs/>
          <w:sz w:val="26"/>
          <w:szCs w:val="26"/>
        </w:rPr>
        <w:t xml:space="preserve">. </w:t>
      </w:r>
      <w:r>
        <w:rPr>
          <w:sz w:val="26"/>
          <w:szCs w:val="26"/>
        </w:rPr>
        <w:t xml:space="preserve">Внести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местные нормативы градостроительного проектирования </w:t>
      </w:r>
      <w:r>
        <w:rPr>
          <w:sz w:val="26"/>
          <w:szCs w:val="26"/>
        </w:rPr>
        <w:t xml:space="preserve">Новооскольского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округа</w:t>
      </w:r>
      <w:r>
        <w:rPr>
          <w:sz w:val="26"/>
          <w:szCs w:val="26"/>
        </w:rPr>
        <w:t xml:space="preserve"> Белгородской области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утвержденные решением </w:t>
      </w:r>
      <w:r>
        <w:rPr>
          <w:sz w:val="26"/>
          <w:szCs w:val="26"/>
        </w:rPr>
        <w:t xml:space="preserve">Совета депутатов Новооскольского муниципального округа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от 24 июня 2025 года</w:t>
      </w:r>
      <w:r>
        <w:rPr>
          <w:sz w:val="26"/>
          <w:szCs w:val="26"/>
        </w:rPr>
        <w:t xml:space="preserve"> № 384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«Об утверждении местных нормативов градостроительного проектирования Новооскольского муниципального округа Белгородской области</w:t>
      </w:r>
      <w:r>
        <w:rPr>
          <w:sz w:val="26"/>
          <w:szCs w:val="26"/>
        </w:rPr>
        <w:t xml:space="preserve">» следующие</w:t>
      </w:r>
      <w:r>
        <w:rPr>
          <w:sz w:val="26"/>
          <w:szCs w:val="26"/>
        </w:rPr>
        <w:t xml:space="preserve"> изменения и дополнения</w:t>
      </w:r>
      <w:r>
        <w:rPr>
          <w:sz w:val="26"/>
          <w:szCs w:val="26"/>
        </w:rPr>
        <w:t xml:space="preserve">:</w:t>
      </w:r>
      <w:r/>
    </w:p>
    <w:p>
      <w:pPr>
        <w:pStyle w:val="731"/>
        <w:numPr>
          <w:ilvl w:val="1"/>
          <w:numId w:val="2"/>
        </w:numPr>
        <w:jc w:val="both"/>
        <w:spacing w:lineRule="auto" w:line="240" w:after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риложении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:</w:t>
      </w:r>
      <w:r/>
    </w:p>
    <w:p>
      <w:pPr>
        <w:ind w:firstLine="709"/>
        <w:jc w:val="both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одержание </w:t>
      </w:r>
      <w:r>
        <w:rPr>
          <w:sz w:val="26"/>
          <w:szCs w:val="26"/>
        </w:rPr>
        <w:t xml:space="preserve">дополнить пункт</w:t>
      </w:r>
      <w:r>
        <w:rPr>
          <w:sz w:val="26"/>
          <w:szCs w:val="26"/>
        </w:rPr>
        <w:t xml:space="preserve">ами</w:t>
      </w:r>
      <w:r>
        <w:rPr>
          <w:sz w:val="26"/>
          <w:szCs w:val="26"/>
        </w:rPr>
        <w:t xml:space="preserve"> 3,4 в следующей редакции: </w:t>
      </w:r>
      <w:r/>
    </w:p>
    <w:p>
      <w:pPr>
        <w:ind w:firstLine="709"/>
        <w:jc w:val="both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«3. </w:t>
      </w:r>
      <w:r>
        <w:rPr>
          <w:sz w:val="26"/>
          <w:szCs w:val="26"/>
        </w:rPr>
        <w:t xml:space="preserve">Расчетные показатели минимально допустимого количества  парковок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средств индивидуальной мобильности</w:t>
      </w:r>
      <w:r>
        <w:rPr>
          <w:sz w:val="26"/>
          <w:szCs w:val="26"/>
        </w:rPr>
        <w:t xml:space="preserve">.</w:t>
      </w:r>
      <w:r/>
    </w:p>
    <w:p>
      <w:pPr>
        <w:ind w:firstLine="709"/>
        <w:jc w:val="both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 Расчетные показатели рекомендуемых значений количества парковок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велосипедов</w:t>
      </w:r>
      <w:r>
        <w:rPr>
          <w:sz w:val="26"/>
          <w:szCs w:val="26"/>
        </w:rPr>
        <w:t xml:space="preserve">.»</w:t>
      </w:r>
      <w:r>
        <w:rPr>
          <w:sz w:val="26"/>
          <w:szCs w:val="26"/>
        </w:rPr>
        <w:t xml:space="preserve">;</w:t>
      </w:r>
      <w:r/>
    </w:p>
    <w:p>
      <w:pPr>
        <w:pStyle w:val="731"/>
        <w:numPr>
          <w:ilvl w:val="0"/>
          <w:numId w:val="3"/>
        </w:numPr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Таблицу доп</w:t>
      </w:r>
      <w:r>
        <w:rPr>
          <w:rFonts w:ascii="Times New Roman" w:hAnsi="Times New Roman" w:cs="Times New Roman"/>
          <w:sz w:val="26"/>
          <w:szCs w:val="26"/>
        </w:rPr>
        <w:t xml:space="preserve">олнить</w:t>
      </w:r>
      <w:r>
        <w:rPr>
          <w:rFonts w:ascii="Times New Roman" w:hAnsi="Times New Roman" w:cs="Times New Roman"/>
          <w:sz w:val="26"/>
          <w:szCs w:val="26"/>
        </w:rPr>
        <w:t xml:space="preserve"> пунктами 3,4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/>
    </w:p>
    <w:p>
      <w:pPr>
        <w:ind w:firstLine="851"/>
        <w:jc w:val="both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«3. Расчетные показатели минимально допустимого количества  парковок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средств индивидуальной мобильности</w:t>
      </w:r>
      <w:r>
        <w:rPr>
          <w:sz w:val="26"/>
          <w:szCs w:val="26"/>
        </w:rPr>
        <w:t xml:space="preserve"> (таблица 3.1.).</w:t>
      </w:r>
      <w:r/>
    </w:p>
    <w:p>
      <w:pPr>
        <w:ind w:firstLine="851"/>
        <w:jc w:val="both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 Расчетные показатели рекомендуемых значений количества парковок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велосипедов</w:t>
      </w:r>
      <w:r>
        <w:rPr>
          <w:sz w:val="26"/>
          <w:szCs w:val="26"/>
        </w:rPr>
        <w:t xml:space="preserve"> (таблица 4.1)</w:t>
      </w:r>
      <w:r>
        <w:rPr>
          <w:sz w:val="26"/>
          <w:szCs w:val="26"/>
        </w:rPr>
        <w:t xml:space="preserve">»</w:t>
      </w:r>
      <w:r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прилагается</w:t>
      </w:r>
      <w:r>
        <w:rPr>
          <w:sz w:val="26"/>
          <w:szCs w:val="26"/>
        </w:rPr>
        <w:t xml:space="preserve">).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 Настоящее решение опубликовать в сетевом</w:t>
      </w:r>
      <w:r>
        <w:rPr>
          <w:sz w:val="26"/>
          <w:szCs w:val="26"/>
        </w:rPr>
        <w:t xml:space="preserve"> издании «Вперед</w:t>
      </w:r>
      <w:r>
        <w:rPr>
          <w:sz w:val="26"/>
          <w:szCs w:val="26"/>
        </w:rPr>
        <w:t xml:space="preserve"> Новооскольская газета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(no-vpered.ru) и разместить на официальном сайте органов местного самоуправления Новооскольского муниципального округа (novyjoskol-r31.gosweb.gosuslugi.ru) в информационно – телекоммуникационной сети «Интернет». 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. </w:t>
      </w:r>
      <w:r>
        <w:rPr>
          <w:sz w:val="26"/>
          <w:szCs w:val="26"/>
          <w:lang w:bidi="ru-RU"/>
        </w:rPr>
        <w:t xml:space="preserve">Контроль за исполнением настоящего решения возложить на постоянную комиссию Совета депутатов Новооскольского муниципального округа  по градостроительству, жилищно-коммунальному хозяйству и благоустройству</w:t>
      </w:r>
      <w:r>
        <w:rPr>
          <w:sz w:val="26"/>
          <w:szCs w:val="26"/>
          <w:lang w:bidi="ru-RU"/>
        </w:rPr>
        <w:t xml:space="preserve"> (Зайченко М.Н.).</w:t>
      </w:r>
      <w:r/>
    </w:p>
    <w:p>
      <w:pPr>
        <w:widowControl w:val="off"/>
        <w:rPr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bCs/>
          <w:iCs/>
          <w:sz w:val="26"/>
          <w:szCs w:val="26"/>
        </w:rPr>
      </w:r>
      <w:r>
        <w:rPr>
          <w:bCs/>
          <w:iCs/>
          <w:sz w:val="26"/>
          <w:szCs w:val="26"/>
        </w:rPr>
      </w:r>
      <w:r/>
    </w:p>
    <w:p>
      <w:pPr>
        <w:widowControl w:val="off"/>
        <w:rPr>
          <w:bCs/>
          <w:iCs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bCs/>
          <w:iCs/>
          <w:sz w:val="26"/>
          <w:szCs w:val="26"/>
        </w:rPr>
      </w:r>
      <w:r/>
    </w:p>
    <w:p>
      <w:pPr>
        <w:widowControl w:val="off"/>
        <w:rPr>
          <w:bCs/>
          <w:iCs/>
          <w:sz w:val="26"/>
          <w:szCs w:val="26"/>
        </w:rPr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  <w:r>
        <w:rPr>
          <w:bCs/>
          <w:iCs/>
          <w:sz w:val="26"/>
          <w:szCs w:val="26"/>
        </w:rPr>
      </w:r>
      <w:r/>
    </w:p>
    <w:tbl>
      <w:tblPr>
        <w:tblStyle w:val="911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4219"/>
      </w:tblGrid>
      <w:tr>
        <w:trPr/>
        <w:tc>
          <w:tcPr>
            <w:tcW w:w="5635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iCs/>
                <w:sz w:val="26"/>
                <w:szCs w:val="26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iCs/>
                <w:sz w:val="26"/>
                <w:szCs w:val="26"/>
              </w:rPr>
              <w:t xml:space="preserve">Председатель Совета депутатов Новооскольского муниципального округа</w:t>
            </w:r>
            <w:r/>
          </w:p>
        </w:tc>
        <w:tc>
          <w:tcPr>
            <w:tcW w:w="4219" w:type="dxa"/>
            <w:textDirection w:val="lrTb"/>
            <w:noWrap w:val="false"/>
          </w:tcPr>
          <w:p>
            <w:pPr>
              <w:widowControl w:val="off"/>
              <w:rPr>
                <w:bCs/>
                <w:iCs/>
                <w:sz w:val="26"/>
                <w:szCs w:val="26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Cs/>
                <w:iCs/>
                <w:sz w:val="26"/>
                <w:szCs w:val="26"/>
              </w:rPr>
            </w:r>
            <w:r/>
          </w:p>
          <w:p>
            <w:pPr>
              <w:jc w:val="right"/>
              <w:widowControl w:val="off"/>
              <w:rPr>
                <w:b/>
                <w:bCs/>
                <w:iCs/>
                <w:sz w:val="26"/>
                <w:szCs w:val="26"/>
              </w:rPr>
              <w:pBdr>
                <w:left w:val="none" w:color="000000" w:sz="4" w:space="0"/>
                <w:top w:val="none" w:color="000000" w:sz="4" w:space="0"/>
                <w:right w:val="none" w:color="000000" w:sz="4" w:space="0"/>
                <w:bottom w:val="none" w:color="000000" w:sz="4" w:space="0"/>
                <w:between w:val="none" w:color="000000" w:sz="4" w:space="0"/>
              </w:pBdr>
            </w:pPr>
            <w:r>
              <w:rPr>
                <w:b/>
                <w:bCs/>
                <w:iCs/>
                <w:sz w:val="26"/>
                <w:szCs w:val="26"/>
              </w:rPr>
              <w:t xml:space="preserve"> А.И. Попова</w:t>
            </w:r>
            <w:r/>
          </w:p>
        </w:tc>
      </w:tr>
    </w:tbl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  <w:sectPr>
          <w:headerReference w:type="default" r:id="rId9"/>
          <w:footnotePr/>
          <w:endnotePr/>
          <w:type w:val="nextPage"/>
          <w:pgSz w:w="11905" w:h="16838" w:orient="portrait"/>
          <w:pgMar w:top="1134" w:right="850" w:bottom="1134" w:left="1701" w:header="0" w:footer="0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747"/>
        <w:tblW w:w="0" w:type="auto"/>
        <w:tblInd w:w="759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5466"/>
      </w:tblGrid>
      <w:tr>
        <w:trPr/>
        <w:tc>
          <w:tcPr>
            <w:tcW w:w="1723" w:type="dxa"/>
            <w:textDirection w:val="lrTb"/>
            <w:noWrap w:val="false"/>
          </w:tcPr>
          <w:p>
            <w:pPr>
              <w:pStyle w:val="89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r>
            <w:r/>
          </w:p>
        </w:tc>
        <w:tc>
          <w:tcPr>
            <w:tcW w:w="5466" w:type="dxa"/>
            <w:textDirection w:val="lrTb"/>
            <w:noWrap w:val="false"/>
          </w:tcPr>
          <w:p>
            <w:pPr>
              <w:pStyle w:val="89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Приложение</w:t>
            </w:r>
            <w:r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r>
            <w:r/>
          </w:p>
          <w:p>
            <w:pPr>
              <w:pStyle w:val="89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к решению Совета </w:t>
            </w:r>
            <w:r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депутатов Новооскольского муниципального округа</w:t>
            </w:r>
            <w:r/>
          </w:p>
          <w:p>
            <w:pPr>
              <w:pStyle w:val="891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Белгородской области</w:t>
            </w:r>
            <w:r/>
          </w:p>
          <w:p>
            <w:pPr>
              <w:pStyle w:val="891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от 26 декабря 2025 года № 454</w:t>
            </w:r>
            <w:r/>
          </w:p>
        </w:tc>
      </w:tr>
    </w:tbl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9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747"/>
        <w:tblW w:w="14742" w:type="dxa"/>
        <w:tblInd w:w="108" w:type="dxa"/>
        <w:tblLook w:val="04A0" w:firstRow="1" w:lastRow="0" w:firstColumn="1" w:lastColumn="0" w:noHBand="0" w:noVBand="1"/>
      </w:tblPr>
      <w:tblGrid>
        <w:gridCol w:w="14742"/>
      </w:tblGrid>
      <w:tr>
        <w:trPr/>
        <w:tc>
          <w:tcPr>
            <w:tcW w:w="14742" w:type="dxa"/>
            <w:textDirection w:val="lrTb"/>
            <w:noWrap w:val="false"/>
          </w:tcPr>
          <w:p>
            <w:pPr>
              <w:jc w:val="both"/>
              <w:tabs>
                <w:tab w:val="left" w:pos="13770" w:leader="none"/>
              </w:tabs>
              <w:rPr>
                <w:b/>
              </w:rPr>
            </w:pPr>
            <w:r>
              <w:rPr>
                <w:b/>
              </w:rPr>
              <w:t xml:space="preserve">3. Расчетные показатели минимально допустимого количества  парковок для средств индивидуальной мобильности</w:t>
            </w:r>
            <w:r/>
          </w:p>
        </w:tc>
      </w:tr>
      <w:tr>
        <w:trPr>
          <w:trHeight w:val="70"/>
        </w:trPr>
        <w:tc>
          <w:tcPr>
            <w:tcW w:w="14742" w:type="dxa"/>
            <w:textDirection w:val="lrTb"/>
            <w:noWrap w:val="false"/>
          </w:tcPr>
          <w:p>
            <w:pPr>
              <w:jc w:val="both"/>
            </w:pPr>
            <w:r>
              <w:t xml:space="preserve">3.1. Расчетные показатели минимально допустимого количества парковок для средств индивидуальной мобильности (далее – СИМ)                         в границах муниципальных округов, городских округов и поселений приведены в таблице 3.1.</w:t>
            </w:r>
            <w:r/>
          </w:p>
        </w:tc>
      </w:tr>
    </w:tbl>
    <w:p>
      <w:pPr>
        <w:ind w:left="709"/>
        <w:jc w:val="right"/>
        <w:rPr>
          <w:b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ind w:left="709"/>
        <w:jc w:val="right"/>
        <w:rPr>
          <w:b/>
          <w:highlight w:val="none"/>
        </w:rPr>
      </w:pPr>
      <w:r>
        <w:rPr>
          <w:b/>
        </w:rPr>
        <w:t xml:space="preserve">Таблица 3.1.</w:t>
      </w:r>
      <w:r/>
    </w:p>
    <w:p>
      <w:pPr>
        <w:ind w:left="709"/>
        <w:jc w:val="right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tbl>
      <w:tblPr>
        <w:tblStyle w:val="747"/>
        <w:tblW w:w="14742" w:type="dxa"/>
        <w:tblInd w:w="108" w:type="dxa"/>
        <w:tblLook w:val="04A0" w:firstRow="1" w:lastRow="0" w:firstColumn="1" w:lastColumn="0" w:noHBand="0" w:noVBand="1"/>
      </w:tblPr>
      <w:tblGrid>
        <w:gridCol w:w="14742"/>
      </w:tblGrid>
      <w:tr>
        <w:trPr/>
        <w:tc>
          <w:tcPr>
            <w:tcW w:w="14742" w:type="dxa"/>
            <w:textDirection w:val="lrTb"/>
            <w:noWrap w:val="false"/>
          </w:tcPr>
          <w:p>
            <w:pPr>
              <w:pStyle w:val="8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показатели минимально допустимого количества парковок для СИМ в границах муниципальных округов, городских округов и поселений</w:t>
            </w:r>
            <w:r/>
          </w:p>
        </w:tc>
      </w:tr>
    </w:tbl>
    <w:p>
      <w:pPr>
        <w:pStyle w:val="8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747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363"/>
        <w:gridCol w:w="3825"/>
        <w:gridCol w:w="1703"/>
      </w:tblGrid>
      <w:tr>
        <w:trPr>
          <w:trHeight w:val="70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</w:t>
            </w:r>
            <w:r/>
          </w:p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п/п</w:t>
            </w:r>
            <w:r/>
          </w:p>
        </w:tc>
        <w:tc>
          <w:tcPr>
            <w:tcW w:w="83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Наименование объекта</w:t>
            </w:r>
            <w:r/>
          </w:p>
        </w:tc>
        <w:tc>
          <w:tcPr>
            <w:tcW w:w="382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показателя,     </w:t>
            </w:r>
            <w:r/>
          </w:p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ед. изм.</w:t>
            </w:r>
            <w:r/>
          </w:p>
        </w:tc>
        <w:tc>
          <w:tcPr>
            <w:tcW w:w="170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Расчетная величина</w:t>
            </w:r>
            <w:r/>
          </w:p>
        </w:tc>
      </w:tr>
      <w:tr>
        <w:trPr/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</w:t>
            </w:r>
            <w:r/>
          </w:p>
        </w:tc>
        <w:tc>
          <w:tcPr>
            <w:tcW w:w="836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2</w:t>
            </w:r>
            <w:r/>
          </w:p>
        </w:tc>
        <w:tc>
          <w:tcPr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3</w:t>
            </w:r>
            <w:r/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4</w:t>
            </w:r>
            <w:r/>
          </w:p>
        </w:tc>
      </w:tr>
      <w:tr>
        <w:trPr/>
        <w:tc>
          <w:tcPr>
            <w:gridSpan w:val="4"/>
            <w:tcW w:w="14742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Здания и сооружения</w:t>
            </w:r>
            <w:r/>
          </w:p>
        </w:tc>
      </w:tr>
    </w:tbl>
    <w:tbl>
      <w:tblPr>
        <w:tblW w:w="14742" w:type="dxa"/>
        <w:tblInd w:w="10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363"/>
        <w:gridCol w:w="3544"/>
        <w:gridCol w:w="281"/>
        <w:gridCol w:w="1703"/>
      </w:tblGrid>
      <w:tr>
        <w:trPr>
          <w:trHeight w:val="117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Учреждения органов государственной власти, органов местного самоуправления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10000 – 11000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2500 – 3000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Коммерческо-деловые центры, офисные здания и помещения, страховые компании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1250 – 1500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Банки и банковские учреждения, кредитно-финансовые учреждения: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</w:pPr>
            <w:r>
              <w:t xml:space="preserve">- с операционными залами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750 – 800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- без операционных залов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1400 – 1500</w:t>
            </w:r>
            <w:r/>
          </w:p>
        </w:tc>
      </w:tr>
      <w:tr>
        <w:trPr>
          <w:trHeight w:val="32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Merge w:val="restart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Учреждения высшего образования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препод</w:t>
            </w:r>
            <w:r>
              <w:t xml:space="preserve">авателей, сотрудников, занятых </w:t>
            </w:r>
            <w:r>
              <w:t xml:space="preserve">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20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Merge w:val="continue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</w:t>
            </w:r>
            <w:r>
              <w:t xml:space="preserve"> количество студентов, занятых </w:t>
            </w:r>
            <w:r>
              <w:t xml:space="preserve">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6.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Профессиональные образовательные организации, образовательные организации искусств городского значения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 парковка </w:t>
            </w:r>
            <w:r>
              <w:br/>
              <w:t xml:space="preserve">на количество преподавателей, сотрудников, обучающихся, занятых 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 – 30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7.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Центры обучения, самодеятельного творчества, клубы по интересам </w:t>
            </w:r>
            <w:r>
              <w:br/>
              <w:t xml:space="preserve">для взрослых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500 – 625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8.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Научно-исследовательские и проектные институты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3500 – 4500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9.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Производственные здания, коммунально-складские объекты, размещаемые в составе многофункциональных зон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работающих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в двух смежных сменах, чел.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100 – 120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Объекты производственного </w:t>
            </w:r>
            <w:r>
              <w:t xml:space="preserve">и коммунального назначения, размещаемые на участках территорий производственных и промышленно-производственных объектов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1000 чел., работающих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в двух смежных сменах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Магазины-склады (мелкооптовой </w:t>
            </w:r>
            <w:r>
              <w:t xml:space="preserve">и розничной торговли, гипермаркеты)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1500 – 1600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Объекты торгового назначения </w:t>
            </w:r>
            <w:r>
              <w:t xml:space="preserve">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 п.)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2000 – 2500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</w:pPr>
            <w:r>
              <w:t xml:space="preserve">Специализированные магазины по продаже товаров эпизодического спроса непродовольственной группы (спортивные, автосалоны, мебельные, бытовой техники, музыкальных ин</w:t>
            </w:r>
            <w:r>
              <w:t xml:space="preserve">струментов, ювелирные, книжные </w:t>
            </w:r>
            <w:r>
              <w:t xml:space="preserve">и т. п.)</w:t>
            </w:r>
            <w:r/>
          </w:p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3000 – 3500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Рынки постоянные: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- универсальные </w:t>
            </w:r>
            <w:r>
              <w:t xml:space="preserve">и непродовольственные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 – 40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-</w:t>
            </w:r>
            <w:r>
              <w:t xml:space="preserve">продовольственные и сельскохозяйственные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1500 – 2000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highlight w:val="none"/>
              </w:rPr>
            </w:pPr>
            <w:r>
              <w:t xml:space="preserve">Предприятия общественного питания периодического спроса (рестораны, кафе)</w:t>
            </w:r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посадочных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4 – 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16.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Объекты коммунально-бытового обслуживания: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- бани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2000 – 2500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- ателье, фотосалоны городского значения, салоны - парикмахерские, салоны красоты, солярии, салоны моды, свадебные салоны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 – 30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салоны ритуальных услуг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50 – 60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химчистки, прачечные, ремонтные мастерские, специализированные центры по обслуживанию сложной бытовой техники и др.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рабочих мест приемщиков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 – 2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17.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Выставочно-музейные комплексы, музеи-заповедники, музеи, галереи, выставочные залы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60 – 80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18.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Театры, концертные залы: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r>
              <w:t xml:space="preserve">- городского значения</w:t>
            </w:r>
            <w:r>
              <w:t xml:space="preserve"> </w:t>
            </w:r>
            <w:r/>
          </w:p>
          <w:p>
            <w:pPr>
              <w:rPr>
                <w:lang w:eastAsia="en-US"/>
              </w:rPr>
            </w:pPr>
            <w:r>
              <w:t xml:space="preserve">(1-й уровень комфорта)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зрительских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40 – 100</w:t>
            </w:r>
            <w:r/>
          </w:p>
        </w:tc>
      </w:tr>
      <w:tr>
        <w:trPr>
          <w:trHeight w:val="619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r>
              <w:t xml:space="preserve">- другие театры и концертные залы </w:t>
            </w:r>
            <w:r/>
          </w:p>
          <w:p>
            <w:pPr>
              <w:spacing w:after="200"/>
              <w:rPr>
                <w:lang w:eastAsia="en-US"/>
              </w:rPr>
            </w:pPr>
            <w:r>
              <w:t xml:space="preserve">(2-й уровень комфорта) и конференц-залы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зрительских мест</w:t>
            </w:r>
            <w:r/>
          </w:p>
          <w:p>
            <w:pPr>
              <w:jc w:val="left"/>
              <w:rPr>
                <w:lang w:val="en-US" w:eastAsia="en-US"/>
              </w:rPr>
            </w:pPr>
            <w:r/>
            <w:bookmarkStart w:id="0" w:name="_GoBack"/>
            <w:r/>
            <w:bookmarkEnd w:id="0"/>
            <w:r/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 – 20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19.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Киноцентры и кинотеатры: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r>
              <w:t xml:space="preserve">- городского значения</w:t>
            </w:r>
            <w:r/>
          </w:p>
          <w:p>
            <w:pPr>
              <w:spacing w:after="200"/>
              <w:rPr>
                <w:lang w:eastAsia="en-US"/>
              </w:rPr>
            </w:pPr>
            <w:r>
              <w:t xml:space="preserve">(1-й уровень комфорта)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зрительских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100 – 200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r>
              <w:t xml:space="preserve">- другие </w:t>
            </w:r>
            <w:r/>
          </w:p>
          <w:p>
            <w:pPr>
              <w:rPr>
                <w:lang w:eastAsia="en-US"/>
              </w:rPr>
            </w:pPr>
            <w:r>
              <w:t xml:space="preserve">(2-й уровень комфорта)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зрительских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50 – 60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Центральные, специальные и специализированные библиотеки, интернет-кафе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постоянных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20</w:t>
            </w:r>
            <w:r/>
          </w:p>
        </w:tc>
      </w:tr>
      <w:tr>
        <w:trPr>
          <w:trHeight w:val="81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Объекты религиозных конфессий (церкви, костелы, мечети, синагоги и другие)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</w:pPr>
            <w:r>
              <w:t xml:space="preserve">30 – 50,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но не менее </w:t>
            </w:r>
            <w:r>
              <w:br/>
              <w:t xml:space="preserve">5 парковочных мест на объект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Досугово-развлекательные учреждения: развлекательные центры, дискотеки, залы игровых автоматов, ночные клубы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15</w:t>
            </w:r>
            <w:r/>
          </w:p>
        </w:tc>
      </w:tr>
      <w:tr>
        <w:trPr>
          <w:trHeight w:val="858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Бильярдные, боулинги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8 – 10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Спортивные комплексы и стадионы с трибунами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мест </w:t>
            </w:r>
            <w:r>
              <w:br/>
              <w:t xml:space="preserve">на трибунах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50 – 60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Оздоровительные комплексы (фитнес-клубы, физкультурно- оздоровительные комплексы (ФОК), спортивные и тренажерные залы):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общей площадью менее 1000 кв. м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250 – 550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общей площадью 1000 кв. м и более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кв. м общей площади</w:t>
            </w:r>
            <w:r/>
          </w:p>
          <w:p>
            <w:pPr>
              <w:jc w:val="left"/>
            </w:pPr>
            <w:r/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250 – 400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26.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Муниципальные детские физкультурно-оздоровительные объекты локального и районного уровней обслуживания: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тренажерные залы площадью 150 – 500 кв. м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400 – 550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ФОК с залом площадью 1000 –2000 кв. м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10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- ФОК с залом и бассейном общей площадью 2000 – 3000 м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27.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Специализированные спортивные клубы и комплексы (теннис, конный спорт, горнолыжные центры и другие)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28.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Аквапарки, бассейны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29.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Катки с искусственным покрытием общей площадью более 3000 кв. м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 – 4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Железнодорожные вокзалы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пассажиров дальнего следования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в час пик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Автовокзалы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пассажиров</w:t>
            </w:r>
            <w:r/>
          </w:p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в час пик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6 – 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Аэровокзалы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пассажиров</w:t>
            </w:r>
            <w:r/>
          </w:p>
          <w:p>
            <w:pPr>
              <w:jc w:val="center"/>
            </w:pPr>
            <w:r>
              <w:t xml:space="preserve">в час пик</w:t>
            </w:r>
            <w:r/>
          </w:p>
          <w:p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100 – 150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Речные порты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5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пассажиров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в час пик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703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 – 50</w:t>
            </w:r>
            <w:r/>
          </w:p>
        </w:tc>
      </w:tr>
      <w:tr>
        <w:trPr/>
        <w:tc>
          <w:tcPr>
            <w:gridSpan w:val="5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742" w:type="dxa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Рекреационные территории и объекты отдыха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 xml:space="preserve">34.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t xml:space="preserve">Пляжи и парки в зонах отдыха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100 единовременных посетителей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15 – 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 xml:space="preserve">35.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Лесопарки и заповедники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100 единовременных посетителей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7 – 10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36.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Базы кратковременного отдыха (спортивные, лыжные, рыболовные, охотничьи и другие)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100 единовременных посетителей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15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37.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Береговые базы маломерного флота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100 единовременных посетителей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15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38.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Дома отдыха и санатории, санатории-профилактории, базы отдыха предприятий и туристские базы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100 отдыхающих </w:t>
            </w:r>
            <w:r>
              <w:br/>
              <w:t xml:space="preserve">и обслуживающего персонала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 – 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39.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Предприятия общественного питания, торговли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 </w:t>
            </w:r>
            <w:r/>
            <w:r>
              <w:t xml:space="preserve">на 100 мест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в залах </w:t>
            </w:r>
            <w:r>
              <w:t xml:space="preserve">или единовременных посетителей </w:t>
            </w:r>
            <w:r>
              <w:t xml:space="preserve">и персонала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7 – 10</w:t>
            </w:r>
            <w:r/>
          </w:p>
        </w:tc>
      </w:tr>
    </w:tbl>
    <w:p>
      <w:pPr>
        <w:rPr>
          <w:lang w:val="en-US" w:eastAsia="en-US"/>
        </w:rPr>
      </w:pPr>
      <w:r>
        <w:rPr>
          <w:lang w:val="en-US" w:eastAsia="en-US"/>
        </w:rPr>
      </w:r>
      <w:r>
        <w:rPr>
          <w:lang w:val="en-US" w:eastAsia="en-US"/>
        </w:rPr>
      </w:r>
      <w:r/>
    </w:p>
    <w:p>
      <w:pPr>
        <w:rPr>
          <w:lang w:val="en-US" w:eastAsia="en-US"/>
        </w:rPr>
      </w:pPr>
      <w:r>
        <w:rPr>
          <w:lang w:val="en-US" w:eastAsia="en-US"/>
        </w:rPr>
      </w:r>
      <w:r>
        <w:rPr>
          <w:lang w:val="en-US" w:eastAsia="en-US"/>
        </w:rPr>
      </w:r>
    </w:p>
    <w:p>
      <w:pPr>
        <w:rPr>
          <w:lang w:val="en-US" w:eastAsia="en-US"/>
        </w:rPr>
      </w:pPr>
      <w:r>
        <w:rPr>
          <w:lang w:val="en-US" w:eastAsia="en-US"/>
        </w:rPr>
      </w:r>
      <w:r>
        <w:rPr>
          <w:lang w:val="en-US" w:eastAsia="en-US"/>
        </w:rPr>
      </w:r>
      <w:r/>
    </w:p>
    <w:p>
      <w:pPr>
        <w:rPr>
          <w:lang w:val="en-US" w:eastAsia="en-US"/>
        </w:rPr>
      </w:pPr>
      <w:r>
        <w:rPr>
          <w:lang w:val="en-US" w:eastAsia="en-US"/>
        </w:rPr>
      </w:r>
      <w:r>
        <w:rPr>
          <w:lang w:val="en-US" w:eastAsia="en-US"/>
        </w:rPr>
      </w:r>
      <w:r/>
    </w:p>
    <w:p>
      <w:pPr>
        <w:rPr>
          <w:lang w:val="en-US" w:eastAsia="en-US"/>
        </w:rPr>
      </w:pPr>
      <w:r>
        <w:rPr>
          <w:lang w:val="en-US" w:eastAsia="en-US"/>
        </w:rPr>
      </w:r>
      <w:r/>
    </w:p>
    <w:tbl>
      <w:tblPr>
        <w:tblStyle w:val="747"/>
        <w:tblW w:w="14742" w:type="dxa"/>
        <w:tblInd w:w="108" w:type="dxa"/>
        <w:tblLook w:val="04A0" w:firstRow="1" w:lastRow="0" w:firstColumn="1" w:lastColumn="0" w:noHBand="0" w:noVBand="1"/>
      </w:tblPr>
      <w:tblGrid>
        <w:gridCol w:w="14742"/>
      </w:tblGrid>
      <w:tr>
        <w:trPr/>
        <w:tc>
          <w:tcPr>
            <w:tcW w:w="14742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4. Расчетные показатели рекомендуемых значений количества парковок для велосипедов</w:t>
            </w:r>
            <w:r/>
          </w:p>
        </w:tc>
      </w:tr>
      <w:tr>
        <w:trPr/>
        <w:tc>
          <w:tcPr>
            <w:tcW w:w="14742" w:type="dxa"/>
            <w:textDirection w:val="lrTb"/>
            <w:noWrap w:val="false"/>
          </w:tcPr>
          <w:p>
            <w:r>
              <w:t xml:space="preserve">4.1. Расчетные показатели минимально допустимого количества парковок для велосипедов в границах муниципальных округов, городских округов и поселений приведены в таблице 4.1.</w:t>
            </w:r>
            <w:r/>
          </w:p>
        </w:tc>
      </w:tr>
    </w:tbl>
    <w:p>
      <w:pPr>
        <w:ind w:left="0"/>
        <w:jc w:val="left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ind w:left="851"/>
        <w:jc w:val="right"/>
        <w:rPr>
          <w:b/>
          <w:highlight w:val="none"/>
        </w:rPr>
      </w:pPr>
      <w:r>
        <w:rPr>
          <w:b/>
        </w:rPr>
        <w:t xml:space="preserve">Таблица 4.1.</w:t>
      </w:r>
      <w:r/>
    </w:p>
    <w:p>
      <w:pPr>
        <w:ind w:left="851"/>
        <w:jc w:val="right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tbl>
      <w:tblPr>
        <w:tblW w:w="14742" w:type="dxa"/>
        <w:tblInd w:w="10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363"/>
        <w:gridCol w:w="3544"/>
        <w:gridCol w:w="1984"/>
      </w:tblGrid>
      <w:tr>
        <w:trPr>
          <w:trHeight w:val="7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24" w:leader="none"/>
              </w:tabs>
              <w:rPr>
                <w:b/>
              </w:rPr>
            </w:pPr>
            <w:r>
              <w:rPr>
                <w:b/>
              </w:rPr>
              <w:t xml:space="preserve">№</w:t>
            </w:r>
            <w:r/>
          </w:p>
          <w:p>
            <w:pPr>
              <w:jc w:val="center"/>
              <w:tabs>
                <w:tab w:val="left" w:pos="224" w:leader="none"/>
              </w:tabs>
              <w:rPr>
                <w:b/>
                <w:lang w:eastAsia="en-US"/>
              </w:rPr>
            </w:pPr>
            <w:r>
              <w:rPr>
                <w:b/>
              </w:rPr>
              <w:t xml:space="preserve">п/п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24" w:leader="none"/>
              </w:tabs>
              <w:rPr>
                <w:b/>
                <w:lang w:eastAsia="en-US"/>
              </w:rPr>
            </w:pPr>
            <w:r>
              <w:rPr>
                <w:b/>
              </w:rPr>
              <w:t xml:space="preserve">Наименование объекта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показателя,</w:t>
            </w:r>
            <w:r/>
          </w:p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ед. изм.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Расчетная величина</w:t>
            </w:r>
            <w:r/>
          </w:p>
        </w:tc>
      </w:tr>
      <w:tr>
        <w:trPr>
          <w:tblHeader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24" w:leader="none"/>
              </w:tabs>
              <w:rPr>
                <w:lang w:eastAsia="en-US"/>
              </w:rPr>
            </w:pPr>
            <w:r>
              <w:t xml:space="preserve">1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24" w:leader="none"/>
              </w:tabs>
              <w:rPr>
                <w:lang w:eastAsia="en-US"/>
              </w:rPr>
            </w:pPr>
            <w:r>
              <w:t xml:space="preserve">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3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4</w:t>
            </w:r>
            <w:r/>
          </w:p>
        </w:tc>
      </w:tr>
      <w:tr>
        <w:trPr/>
        <w:tc>
          <w:tcPr>
            <w:gridSpan w:val="4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742" w:type="dxa"/>
            <w:textDirection w:val="lrTb"/>
            <w:noWrap w:val="false"/>
          </w:tcPr>
          <w:p>
            <w:pPr>
              <w:jc w:val="center"/>
              <w:tabs>
                <w:tab w:val="left" w:pos="224" w:leader="none"/>
              </w:tabs>
              <w:rPr>
                <w:b/>
                <w:lang w:eastAsia="en-US"/>
              </w:rPr>
            </w:pPr>
            <w:r>
              <w:rPr>
                <w:b/>
              </w:rPr>
              <w:t xml:space="preserve">Здания и сооружения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ind w:firstLine="272"/>
              <w:rPr>
                <w:bCs/>
              </w:rPr>
            </w:pPr>
            <w:r>
              <w:rPr>
                <w:bCs/>
              </w:rPr>
              <w:t xml:space="preserve">1.</w:t>
            </w:r>
            <w:r/>
          </w:p>
          <w:p>
            <w:pPr>
              <w:ind w:firstLine="272"/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Учреждения органов государственной власти, органов местного самоуправления, административно-управленческие учреждения, коммерческо-деловые центры, офисные здания и помещения, страховые компании, банки и банковские учреждения, кредитно-финансовые учреждения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ind w:firstLine="272"/>
              <w:jc w:val="center"/>
              <w:spacing w:after="200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ind w:firstLine="272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8363" w:type="dxa"/>
            <w:vMerge w:val="restart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Общеобразовательные организации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 парковка </w:t>
            </w:r>
            <w:r>
              <w:br/>
              <w:t xml:space="preserve">на количество преподавателей, сотрудников, занятых </w:t>
            </w:r>
            <w:r>
              <w:br/>
              <w:t xml:space="preserve">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20</w:t>
            </w:r>
            <w:r/>
          </w:p>
        </w:tc>
      </w:tr>
      <w:tr>
        <w:trPr/>
        <w:tc>
          <w:tcPr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ind w:firstLine="272"/>
              <w:spacing w:after="20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Merge w:val="continue"/>
            <w:textDirection w:val="lrTb"/>
            <w:noWrap w:val="false"/>
          </w:tcPr>
          <w:p>
            <w:pPr>
              <w:ind w:firstLine="272"/>
              <w:jc w:val="both"/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t xml:space="preserve">1 парковка </w:t>
            </w:r>
            <w:r>
              <w:br/>
              <w:t xml:space="preserve">на количество обучающихся занятых 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ind w:firstLine="272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Профессиональные образовательные организации, образовательные организации искусств городского значения, Центры обучения, самодеятельного творчества, клубы </w:t>
            </w:r>
            <w:r>
              <w:br/>
              <w:t xml:space="preserve">по интересам для взрослых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 </w:t>
            </w:r>
            <w:r>
              <w:br/>
              <w:t xml:space="preserve">на количество преподавателей, сотр</w:t>
            </w:r>
            <w:r>
              <w:t xml:space="preserve">удников,  обучающихся, занятых </w:t>
            </w:r>
            <w:r>
              <w:t xml:space="preserve">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 – 30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851" w:type="dxa"/>
            <w:vMerge w:val="restart"/>
            <w:textDirection w:val="lrTb"/>
            <w:noWrap w:val="false"/>
          </w:tcPr>
          <w:p>
            <w:pPr>
              <w:ind w:firstLine="272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8363" w:type="dxa"/>
            <w:vMerge w:val="restart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Учреждения высшего образования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преподавателей, сотрудников, занятых  в одну смену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20</w:t>
            </w:r>
            <w:r/>
          </w:p>
        </w:tc>
      </w:tr>
      <w:tr>
        <w:trPr/>
        <w:tc>
          <w:tcPr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vMerge w:val="continue"/>
            <w:textDirection w:val="lrTb"/>
            <w:noWrap w:val="false"/>
          </w:tcPr>
          <w:p>
            <w:pPr>
              <w:ind w:firstLine="272"/>
              <w:spacing w:after="20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vMerge w:val="continue"/>
            <w:textDirection w:val="lrTb"/>
            <w:noWrap w:val="false"/>
          </w:tcPr>
          <w:p>
            <w:pPr>
              <w:ind w:firstLine="272"/>
              <w:spacing w:after="200"/>
              <w:rPr>
                <w:lang w:eastAsia="en-US"/>
              </w:rPr>
            </w:pPr>
            <w:r>
              <w:rPr>
                <w:lang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студентов, занятых в одну смену</w:t>
            </w:r>
            <w:r/>
          </w:p>
          <w:p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Магазины-склады (мелкооптовой </w:t>
            </w:r>
            <w:r>
              <w:t xml:space="preserve">и розничной торговли, гипермаркеты)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1500 – 1600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6.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Объекты торгового назначения с широким ассортиментом товаров периодического спроса продовольственной и (или) непродовольственной групп (торговые центры, торговые комплексы, супермаркеты, универсамы, универмаги и т. п.)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2000 – 2500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7.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t xml:space="preserve">Специализированные магазины по продаже товаров эпизодического спроса непродовольственной группы (спортивные, автосалоны, мебельные, бытовой техники, музыкальных инструментов, ювелирные, книжные и т. п.)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на кв. м общей площади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3000 – 3500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8.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Физкультурно-оздоровительные комплексы, специализированные спортивные клубы и комплексы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10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9.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Аквапарки, бассейны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 – 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10.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Театры, концертные залы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зрительских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15 – 20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Киноцентры и кинотеатры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</w:pPr>
            <w:r>
              <w:t xml:space="preserve">на количество зрительских мест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50 – 60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12.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jc w:val="both"/>
              <w:spacing w:after="200"/>
              <w:rPr>
                <w:lang w:eastAsia="en-US"/>
              </w:rPr>
            </w:pPr>
            <w:r>
              <w:t xml:space="preserve">Досугово-развлекательные учреждения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количество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15</w:t>
            </w:r>
            <w:r/>
          </w:p>
        </w:tc>
      </w:tr>
      <w:tr>
        <w:trPr>
          <w:trHeight w:val="279"/>
        </w:trPr>
        <w:tc>
          <w:tcPr>
            <w:gridSpan w:val="4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4742" w:type="dxa"/>
            <w:textDirection w:val="lrTb"/>
            <w:noWrap w:val="false"/>
          </w:tcPr>
          <w:p>
            <w:pPr>
              <w:jc w:val="center"/>
              <w:rPr>
                <w:lang w:eastAsia="en-US"/>
              </w:rPr>
            </w:pPr>
            <w:r>
              <w:rPr>
                <w:b/>
              </w:rPr>
              <w:t xml:space="preserve">Рекреационные территории и объекты отдыха</w:t>
            </w:r>
            <w:r/>
          </w:p>
        </w:tc>
      </w:tr>
      <w:tr>
        <w:trPr>
          <w:trHeight w:val="403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13.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Парки культуры и отдыха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100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10 – 15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14.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Пляжи и парки в рекреационных зонах отдыха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100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 – 35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51" w:type="dxa"/>
            <w:textDirection w:val="lrTb"/>
            <w:noWrap w:val="false"/>
          </w:tcPr>
          <w:p>
            <w:pPr>
              <w:jc w:val="center"/>
              <w:spacing w:after="200"/>
              <w:rPr>
                <w:bCs/>
                <w:lang w:eastAsia="en-US"/>
              </w:rPr>
            </w:pPr>
            <w:r>
              <w:rPr>
                <w:bCs/>
              </w:rPr>
              <w:t xml:space="preserve">15.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8363" w:type="dxa"/>
            <w:textDirection w:val="lrTb"/>
            <w:noWrap w:val="false"/>
          </w:tcPr>
          <w:p>
            <w:pPr>
              <w:spacing w:after="200"/>
              <w:rPr>
                <w:lang w:eastAsia="en-US"/>
              </w:rPr>
            </w:pPr>
            <w:r>
              <w:t xml:space="preserve">Спортивные площадки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544" w:type="dxa"/>
            <w:textDirection w:val="lrTb"/>
            <w:noWrap w:val="false"/>
          </w:tcPr>
          <w:p>
            <w:pPr>
              <w:jc w:val="center"/>
            </w:pPr>
            <w:r>
              <w:t xml:space="preserve">1 парковка</w:t>
            </w:r>
            <w:r/>
          </w:p>
          <w:p>
            <w:pPr>
              <w:jc w:val="center"/>
              <w:rPr>
                <w:lang w:eastAsia="en-US"/>
              </w:rPr>
            </w:pPr>
            <w:r>
              <w:t xml:space="preserve">на 100 единовременных посетителей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lang w:eastAsia="en-US"/>
              </w:rPr>
            </w:pPr>
            <w:r>
              <w:t xml:space="preserve">20</w:t>
            </w:r>
            <w:r/>
          </w:p>
        </w:tc>
      </w:tr>
    </w:tbl>
    <w:p>
      <w:pPr>
        <w:pStyle w:val="891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</w:r>
      <w:r/>
    </w:p>
    <w:sectPr>
      <w:footnotePr/>
      <w:endnotePr/>
      <w:type w:val="nextPage"/>
      <w:pgSz w:w="16838" w:h="11905" w:orient="landscape"/>
      <w:pgMar w:top="851" w:right="1134" w:bottom="1416" w:left="1134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631242"/>
      <w:docPartObj>
        <w:docPartGallery w:val="Page Numbers (Top of Page)"/>
        <w:docPartUnique w:val="true"/>
      </w:docPartObj>
      <w:rPr/>
    </w:sdtPr>
    <w:sdtContent>
      <w:p>
        <w:pPr>
          <w:pStyle w:val="899"/>
          <w:jc w:val="center"/>
        </w:pPr>
        <w:r/>
        <w:r/>
      </w:p>
      <w:p>
        <w:pPr>
          <w:pStyle w:val="899"/>
          <w:jc w:val="center"/>
        </w:pPr>
        <w:r/>
        <w:r/>
      </w:p>
      <w:p>
        <w:pPr>
          <w:pStyle w:val="89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11</w:t>
        </w:r>
        <w:r>
          <w:fldChar w:fldCharType="end"/>
        </w:r>
        <w:r/>
      </w:p>
    </w:sdtContent>
  </w:sdt>
  <w:p>
    <w:pPr>
      <w:pStyle w:val="89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2"/>
    <w:basedOn w:val="707"/>
    <w:next w:val="707"/>
    <w:link w:val="716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675">
    <w:name w:val="Heading 4"/>
    <w:basedOn w:val="707"/>
    <w:next w:val="707"/>
    <w:link w:val="720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676">
    <w:name w:val="Heading 5"/>
    <w:basedOn w:val="707"/>
    <w:next w:val="707"/>
    <w:link w:val="722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677">
    <w:name w:val="Heading 6"/>
    <w:basedOn w:val="707"/>
    <w:next w:val="707"/>
    <w:link w:val="724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678">
    <w:name w:val="Heading 7"/>
    <w:basedOn w:val="707"/>
    <w:next w:val="707"/>
    <w:link w:val="726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679">
    <w:name w:val="Heading 8"/>
    <w:basedOn w:val="707"/>
    <w:next w:val="707"/>
    <w:link w:val="72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680">
    <w:name w:val="Heading 9"/>
    <w:basedOn w:val="707"/>
    <w:next w:val="707"/>
    <w:link w:val="73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1">
    <w:name w:val="Title Char"/>
    <w:basedOn w:val="710"/>
    <w:link w:val="733"/>
    <w:uiPriority w:val="10"/>
    <w:rPr>
      <w:sz w:val="48"/>
      <w:szCs w:val="48"/>
    </w:rPr>
  </w:style>
  <w:style w:type="character" w:styleId="682">
    <w:name w:val="Subtitle Char"/>
    <w:basedOn w:val="710"/>
    <w:link w:val="735"/>
    <w:uiPriority w:val="11"/>
    <w:rPr>
      <w:sz w:val="24"/>
      <w:szCs w:val="24"/>
    </w:rPr>
  </w:style>
  <w:style w:type="character" w:styleId="683">
    <w:name w:val="Quote Char"/>
    <w:link w:val="737"/>
    <w:uiPriority w:val="29"/>
    <w:rPr>
      <w:i/>
    </w:rPr>
  </w:style>
  <w:style w:type="character" w:styleId="684">
    <w:name w:val="Intense Quote Char"/>
    <w:link w:val="739"/>
    <w:uiPriority w:val="30"/>
    <w:rPr>
      <w:i/>
    </w:rPr>
  </w:style>
  <w:style w:type="paragraph" w:styleId="685">
    <w:name w:val="Caption"/>
    <w:basedOn w:val="707"/>
    <w:next w:val="70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table" w:styleId="686">
    <w:name w:val="Plain Table 1"/>
    <w:basedOn w:val="71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71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1">
    <w:name w:val="Grid Table 1 Light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4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695">
    <w:name w:val="Grid Table 5 Dark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696">
    <w:name w:val="Grid Table 6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7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List Table 1 Light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List Table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00">
    <w:name w:val="List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List Table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List Table 5 Dark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3">
    <w:name w:val="List Table 6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04">
    <w:name w:val="List Table 7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05">
    <w:name w:val="Footnote Text Char"/>
    <w:link w:val="874"/>
    <w:uiPriority w:val="99"/>
    <w:rPr>
      <w:sz w:val="18"/>
    </w:rPr>
  </w:style>
  <w:style w:type="character" w:styleId="706">
    <w:name w:val="Endnote Text Char"/>
    <w:link w:val="877"/>
    <w:uiPriority w:val="99"/>
    <w:rPr>
      <w:sz w:val="20"/>
    </w:rPr>
  </w:style>
  <w:style w:type="paragraph" w:styleId="707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708">
    <w:name w:val="Heading 1"/>
    <w:basedOn w:val="707"/>
    <w:next w:val="707"/>
    <w:link w:val="912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  <w:pPr>
      <w:keepLines/>
      <w:keepNext/>
      <w:spacing w:lineRule="auto" w:line="276" w:before="480"/>
      <w:outlineLvl w:val="0"/>
    </w:pPr>
  </w:style>
  <w:style w:type="paragraph" w:styleId="709">
    <w:name w:val="Heading 3"/>
    <w:basedOn w:val="707"/>
    <w:link w:val="904"/>
    <w:qFormat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710" w:default="1">
    <w:name w:val="Default Paragraph Font"/>
    <w:uiPriority w:val="1"/>
    <w:semiHidden/>
    <w:unhideWhenUsed/>
  </w:style>
  <w:style w:type="table" w:styleId="7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2" w:default="1">
    <w:name w:val="No List"/>
    <w:uiPriority w:val="99"/>
    <w:semiHidden/>
    <w:unhideWhenUsed/>
  </w:style>
  <w:style w:type="paragraph" w:styleId="713" w:customStyle="1">
    <w:name w:val="Заголовок 11"/>
    <w:basedOn w:val="707"/>
    <w:next w:val="707"/>
    <w:link w:val="714"/>
    <w:qFormat/>
    <w:uiPriority w:val="9"/>
    <w:rPr>
      <w:rFonts w:ascii="Arial" w:hAnsi="Arial" w:cs="Arial" w:eastAsia="Arial"/>
      <w:sz w:val="40"/>
      <w:szCs w:val="40"/>
      <w:lang w:eastAsia="en-US"/>
    </w:rPr>
    <w:pPr>
      <w:keepLines/>
      <w:keepNext/>
      <w:spacing w:lineRule="auto" w:line="276" w:after="200" w:before="480"/>
      <w:outlineLvl w:val="0"/>
    </w:pPr>
  </w:style>
  <w:style w:type="character" w:styleId="714" w:customStyle="1">
    <w:name w:val="Heading 1 Char"/>
    <w:basedOn w:val="710"/>
    <w:link w:val="713"/>
    <w:uiPriority w:val="9"/>
    <w:rPr>
      <w:rFonts w:ascii="Arial" w:hAnsi="Arial" w:cs="Arial" w:eastAsia="Arial"/>
      <w:sz w:val="40"/>
      <w:szCs w:val="40"/>
    </w:rPr>
  </w:style>
  <w:style w:type="paragraph" w:styleId="715" w:customStyle="1">
    <w:name w:val="Заголовок 21"/>
    <w:basedOn w:val="707"/>
    <w:next w:val="707"/>
    <w:link w:val="716"/>
    <w:qFormat/>
    <w:uiPriority w:val="9"/>
    <w:unhideWhenUsed/>
    <w:rPr>
      <w:rFonts w:ascii="Arial" w:hAnsi="Arial" w:cs="Arial" w:eastAsia="Arial"/>
      <w:sz w:val="34"/>
      <w:szCs w:val="22"/>
      <w:lang w:eastAsia="en-US"/>
    </w:rPr>
    <w:pPr>
      <w:keepLines/>
      <w:keepNext/>
      <w:spacing w:lineRule="auto" w:line="276" w:after="200" w:before="360"/>
      <w:outlineLvl w:val="1"/>
    </w:pPr>
  </w:style>
  <w:style w:type="character" w:styleId="716" w:customStyle="1">
    <w:name w:val="Heading 2 Char"/>
    <w:basedOn w:val="710"/>
    <w:link w:val="715"/>
    <w:uiPriority w:val="9"/>
    <w:rPr>
      <w:rFonts w:ascii="Arial" w:hAnsi="Arial" w:cs="Arial" w:eastAsia="Arial"/>
      <w:sz w:val="34"/>
    </w:rPr>
  </w:style>
  <w:style w:type="paragraph" w:styleId="717" w:customStyle="1">
    <w:name w:val="Заголовок 31"/>
    <w:basedOn w:val="707"/>
    <w:next w:val="707"/>
    <w:link w:val="718"/>
    <w:qFormat/>
    <w:uiPriority w:val="9"/>
    <w:unhideWhenUsed/>
    <w:rPr>
      <w:rFonts w:ascii="Arial" w:hAnsi="Arial" w:cs="Arial" w:eastAsia="Arial"/>
      <w:sz w:val="30"/>
      <w:szCs w:val="30"/>
      <w:lang w:eastAsia="en-US"/>
    </w:rPr>
    <w:pPr>
      <w:keepLines/>
      <w:keepNext/>
      <w:spacing w:lineRule="auto" w:line="276" w:after="200" w:before="320"/>
      <w:outlineLvl w:val="2"/>
    </w:pPr>
  </w:style>
  <w:style w:type="character" w:styleId="718" w:customStyle="1">
    <w:name w:val="Heading 3 Char"/>
    <w:basedOn w:val="710"/>
    <w:link w:val="717"/>
    <w:uiPriority w:val="9"/>
    <w:rPr>
      <w:rFonts w:ascii="Arial" w:hAnsi="Arial" w:cs="Arial" w:eastAsia="Arial"/>
      <w:sz w:val="30"/>
      <w:szCs w:val="30"/>
    </w:rPr>
  </w:style>
  <w:style w:type="paragraph" w:styleId="719" w:customStyle="1">
    <w:name w:val="Заголовок 41"/>
    <w:basedOn w:val="707"/>
    <w:next w:val="707"/>
    <w:link w:val="720"/>
    <w:qFormat/>
    <w:uiPriority w:val="9"/>
    <w:unhideWhenUsed/>
    <w:rPr>
      <w:rFonts w:ascii="Arial" w:hAnsi="Arial" w:cs="Arial" w:eastAsia="Arial"/>
      <w:b/>
      <w:bCs/>
      <w:sz w:val="26"/>
      <w:szCs w:val="26"/>
      <w:lang w:eastAsia="en-US"/>
    </w:rPr>
    <w:pPr>
      <w:keepLines/>
      <w:keepNext/>
      <w:spacing w:lineRule="auto" w:line="276" w:after="200" w:before="320"/>
      <w:outlineLvl w:val="3"/>
    </w:pPr>
  </w:style>
  <w:style w:type="character" w:styleId="720" w:customStyle="1">
    <w:name w:val="Heading 4 Char"/>
    <w:basedOn w:val="710"/>
    <w:link w:val="719"/>
    <w:uiPriority w:val="9"/>
    <w:rPr>
      <w:rFonts w:ascii="Arial" w:hAnsi="Arial" w:cs="Arial" w:eastAsia="Arial"/>
      <w:b/>
      <w:bCs/>
      <w:sz w:val="26"/>
      <w:szCs w:val="26"/>
    </w:rPr>
  </w:style>
  <w:style w:type="paragraph" w:styleId="721" w:customStyle="1">
    <w:name w:val="Заголовок 51"/>
    <w:basedOn w:val="707"/>
    <w:next w:val="707"/>
    <w:link w:val="722"/>
    <w:qFormat/>
    <w:uiPriority w:val="9"/>
    <w:unhideWhenUsed/>
    <w:rPr>
      <w:rFonts w:ascii="Arial" w:hAnsi="Arial" w:cs="Arial" w:eastAsia="Arial"/>
      <w:b/>
      <w:bCs/>
      <w:lang w:eastAsia="en-US"/>
    </w:rPr>
    <w:pPr>
      <w:keepLines/>
      <w:keepNext/>
      <w:spacing w:lineRule="auto" w:line="276" w:after="200" w:before="320"/>
      <w:outlineLvl w:val="4"/>
    </w:pPr>
  </w:style>
  <w:style w:type="character" w:styleId="722" w:customStyle="1">
    <w:name w:val="Heading 5 Char"/>
    <w:basedOn w:val="710"/>
    <w:link w:val="721"/>
    <w:uiPriority w:val="9"/>
    <w:rPr>
      <w:rFonts w:ascii="Arial" w:hAnsi="Arial" w:cs="Arial" w:eastAsia="Arial"/>
      <w:b/>
      <w:bCs/>
      <w:sz w:val="24"/>
      <w:szCs w:val="24"/>
    </w:rPr>
  </w:style>
  <w:style w:type="paragraph" w:styleId="723" w:customStyle="1">
    <w:name w:val="Заголовок 61"/>
    <w:basedOn w:val="707"/>
    <w:next w:val="707"/>
    <w:link w:val="724"/>
    <w:qFormat/>
    <w:uiPriority w:val="9"/>
    <w:unhideWhenUsed/>
    <w:rPr>
      <w:rFonts w:ascii="Arial" w:hAnsi="Arial" w:cs="Arial" w:eastAsia="Arial"/>
      <w:b/>
      <w:bCs/>
      <w:sz w:val="22"/>
      <w:szCs w:val="22"/>
      <w:lang w:eastAsia="en-US"/>
    </w:rPr>
    <w:pPr>
      <w:keepLines/>
      <w:keepNext/>
      <w:spacing w:lineRule="auto" w:line="276" w:after="200" w:before="320"/>
      <w:outlineLvl w:val="5"/>
    </w:pPr>
  </w:style>
  <w:style w:type="character" w:styleId="724" w:customStyle="1">
    <w:name w:val="Heading 6 Char"/>
    <w:basedOn w:val="710"/>
    <w:link w:val="723"/>
    <w:uiPriority w:val="9"/>
    <w:rPr>
      <w:rFonts w:ascii="Arial" w:hAnsi="Arial" w:cs="Arial" w:eastAsia="Arial"/>
      <w:b/>
      <w:bCs/>
      <w:sz w:val="22"/>
      <w:szCs w:val="22"/>
    </w:rPr>
  </w:style>
  <w:style w:type="paragraph" w:styleId="725" w:customStyle="1">
    <w:name w:val="Заголовок 71"/>
    <w:basedOn w:val="707"/>
    <w:next w:val="707"/>
    <w:link w:val="726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  <w:lang w:eastAsia="en-US"/>
    </w:rPr>
    <w:pPr>
      <w:keepLines/>
      <w:keepNext/>
      <w:spacing w:lineRule="auto" w:line="276" w:after="200" w:before="320"/>
      <w:outlineLvl w:val="6"/>
    </w:pPr>
  </w:style>
  <w:style w:type="character" w:styleId="726" w:customStyle="1">
    <w:name w:val="Heading 7 Char"/>
    <w:basedOn w:val="710"/>
    <w:link w:val="72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27" w:customStyle="1">
    <w:name w:val="Заголовок 81"/>
    <w:basedOn w:val="707"/>
    <w:next w:val="707"/>
    <w:link w:val="728"/>
    <w:qFormat/>
    <w:uiPriority w:val="9"/>
    <w:unhideWhenUsed/>
    <w:rPr>
      <w:rFonts w:ascii="Arial" w:hAnsi="Arial" w:cs="Arial" w:eastAsia="Arial"/>
      <w:i/>
      <w:iCs/>
      <w:sz w:val="22"/>
      <w:szCs w:val="22"/>
      <w:lang w:eastAsia="en-US"/>
    </w:rPr>
    <w:pPr>
      <w:keepLines/>
      <w:keepNext/>
      <w:spacing w:lineRule="auto" w:line="276" w:after="200" w:before="320"/>
      <w:outlineLvl w:val="7"/>
    </w:pPr>
  </w:style>
  <w:style w:type="character" w:styleId="728" w:customStyle="1">
    <w:name w:val="Heading 8 Char"/>
    <w:basedOn w:val="710"/>
    <w:link w:val="727"/>
    <w:uiPriority w:val="9"/>
    <w:rPr>
      <w:rFonts w:ascii="Arial" w:hAnsi="Arial" w:cs="Arial" w:eastAsia="Arial"/>
      <w:i/>
      <w:iCs/>
      <w:sz w:val="22"/>
      <w:szCs w:val="22"/>
    </w:rPr>
  </w:style>
  <w:style w:type="paragraph" w:styleId="729" w:customStyle="1">
    <w:name w:val="Заголовок 91"/>
    <w:basedOn w:val="707"/>
    <w:next w:val="707"/>
    <w:link w:val="730"/>
    <w:qFormat/>
    <w:uiPriority w:val="9"/>
    <w:unhideWhenUsed/>
    <w:rPr>
      <w:rFonts w:ascii="Arial" w:hAnsi="Arial" w:cs="Arial" w:eastAsia="Arial"/>
      <w:i/>
      <w:iCs/>
      <w:sz w:val="21"/>
      <w:szCs w:val="21"/>
      <w:lang w:eastAsia="en-US"/>
    </w:rPr>
    <w:pPr>
      <w:keepLines/>
      <w:keepNext/>
      <w:spacing w:lineRule="auto" w:line="276" w:after="200" w:before="320"/>
      <w:outlineLvl w:val="8"/>
    </w:pPr>
  </w:style>
  <w:style w:type="character" w:styleId="730" w:customStyle="1">
    <w:name w:val="Heading 9 Char"/>
    <w:basedOn w:val="710"/>
    <w:link w:val="729"/>
    <w:uiPriority w:val="9"/>
    <w:rPr>
      <w:rFonts w:ascii="Arial" w:hAnsi="Arial" w:cs="Arial" w:eastAsia="Arial"/>
      <w:i/>
      <w:iCs/>
      <w:sz w:val="21"/>
      <w:szCs w:val="21"/>
    </w:rPr>
  </w:style>
  <w:style w:type="paragraph" w:styleId="731">
    <w:name w:val="List Paragraph"/>
    <w:basedOn w:val="707"/>
    <w:qFormat/>
    <w:uiPriority w:val="34"/>
    <w:rPr>
      <w:rFonts w:asciiTheme="minorHAnsi" w:hAnsiTheme="minorHAnsi" w:eastAsiaTheme="minorHAnsi" w:cstheme="minorBidi"/>
      <w:sz w:val="22"/>
      <w:szCs w:val="22"/>
      <w:lang w:eastAsia="en-US"/>
    </w:rPr>
    <w:pPr>
      <w:contextualSpacing w:val="true"/>
      <w:ind w:left="720"/>
      <w:spacing w:lineRule="auto" w:line="276" w:after="200"/>
    </w:pPr>
  </w:style>
  <w:style w:type="paragraph" w:styleId="732">
    <w:name w:val="No Spacing"/>
    <w:qFormat/>
    <w:uiPriority w:val="1"/>
    <w:pPr>
      <w:spacing w:lineRule="auto" w:line="240" w:after="0"/>
    </w:pPr>
  </w:style>
  <w:style w:type="paragraph" w:styleId="733">
    <w:name w:val="Title"/>
    <w:basedOn w:val="707"/>
    <w:next w:val="707"/>
    <w:link w:val="734"/>
    <w:qFormat/>
    <w:uiPriority w:val="10"/>
    <w:rPr>
      <w:rFonts w:asciiTheme="minorHAnsi" w:hAnsiTheme="minorHAnsi" w:eastAsiaTheme="minorHAnsi" w:cstheme="minorBidi"/>
      <w:sz w:val="48"/>
      <w:szCs w:val="48"/>
      <w:lang w:eastAsia="en-US"/>
    </w:rPr>
    <w:pPr>
      <w:contextualSpacing w:val="true"/>
      <w:spacing w:lineRule="auto" w:line="276" w:after="200" w:before="300"/>
    </w:pPr>
  </w:style>
  <w:style w:type="character" w:styleId="734" w:customStyle="1">
    <w:name w:val="Название Знак"/>
    <w:basedOn w:val="710"/>
    <w:link w:val="733"/>
    <w:uiPriority w:val="10"/>
    <w:rPr>
      <w:sz w:val="48"/>
      <w:szCs w:val="48"/>
    </w:rPr>
  </w:style>
  <w:style w:type="paragraph" w:styleId="735">
    <w:name w:val="Subtitle"/>
    <w:basedOn w:val="707"/>
    <w:next w:val="707"/>
    <w:link w:val="736"/>
    <w:qFormat/>
    <w:uiPriority w:val="11"/>
    <w:rPr>
      <w:rFonts w:asciiTheme="minorHAnsi" w:hAnsiTheme="minorHAnsi" w:eastAsiaTheme="minorHAnsi" w:cstheme="minorBidi"/>
      <w:lang w:eastAsia="en-US"/>
    </w:rPr>
    <w:pPr>
      <w:spacing w:lineRule="auto" w:line="276" w:after="200" w:before="200"/>
    </w:pPr>
  </w:style>
  <w:style w:type="character" w:styleId="736" w:customStyle="1">
    <w:name w:val="Подзаголовок Знак"/>
    <w:basedOn w:val="710"/>
    <w:link w:val="735"/>
    <w:uiPriority w:val="11"/>
    <w:rPr>
      <w:sz w:val="24"/>
      <w:szCs w:val="24"/>
    </w:rPr>
  </w:style>
  <w:style w:type="paragraph" w:styleId="737">
    <w:name w:val="Quote"/>
    <w:basedOn w:val="707"/>
    <w:next w:val="707"/>
    <w:link w:val="738"/>
    <w:qFormat/>
    <w:uiPriority w:val="29"/>
    <w:rPr>
      <w:rFonts w:asciiTheme="minorHAnsi" w:hAnsiTheme="minorHAnsi" w:eastAsiaTheme="minorHAnsi" w:cstheme="minorBidi"/>
      <w:i/>
      <w:sz w:val="22"/>
      <w:szCs w:val="22"/>
      <w:lang w:eastAsia="en-US"/>
    </w:rPr>
    <w:pPr>
      <w:ind w:left="720" w:right="720"/>
      <w:spacing w:lineRule="auto" w:line="276" w:after="200"/>
    </w:p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707"/>
    <w:next w:val="707"/>
    <w:link w:val="740"/>
    <w:qFormat/>
    <w:uiPriority w:val="30"/>
    <w:rPr>
      <w:rFonts w:asciiTheme="minorHAnsi" w:hAnsiTheme="minorHAnsi" w:eastAsiaTheme="minorHAnsi" w:cstheme="minorBidi"/>
      <w:i/>
      <w:sz w:val="22"/>
      <w:szCs w:val="22"/>
      <w:lang w:eastAsia="en-US"/>
    </w:rPr>
    <w:pPr>
      <w:ind w:left="720" w:right="720"/>
      <w:spacing w:lineRule="auto" w:line="276" w:after="20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 w:customStyle="1">
    <w:name w:val="Верхний колонтитул1"/>
    <w:basedOn w:val="707"/>
    <w:link w:val="742"/>
    <w:uiPriority w:val="9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tabs>
        <w:tab w:val="center" w:pos="7143" w:leader="none"/>
        <w:tab w:val="right" w:pos="14287" w:leader="none"/>
      </w:tabs>
    </w:pPr>
  </w:style>
  <w:style w:type="character" w:styleId="742" w:customStyle="1">
    <w:name w:val="Header Char"/>
    <w:basedOn w:val="710"/>
    <w:link w:val="741"/>
    <w:uiPriority w:val="99"/>
  </w:style>
  <w:style w:type="paragraph" w:styleId="743" w:customStyle="1">
    <w:name w:val="Нижний колонтитул1"/>
    <w:basedOn w:val="707"/>
    <w:link w:val="746"/>
    <w:uiPriority w:val="9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tabs>
        <w:tab w:val="center" w:pos="7143" w:leader="none"/>
        <w:tab w:val="right" w:pos="14287" w:leader="none"/>
      </w:tabs>
    </w:pPr>
  </w:style>
  <w:style w:type="character" w:styleId="744" w:customStyle="1">
    <w:name w:val="Footer Char"/>
    <w:basedOn w:val="710"/>
    <w:uiPriority w:val="99"/>
  </w:style>
  <w:style w:type="paragraph" w:styleId="745" w:customStyle="1">
    <w:name w:val="Название объекта1"/>
    <w:basedOn w:val="707"/>
    <w:next w:val="707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746" w:customStyle="1">
    <w:name w:val="Caption Char"/>
    <w:link w:val="743"/>
    <w:uiPriority w:val="99"/>
  </w:style>
  <w:style w:type="table" w:styleId="747">
    <w:name w:val="Table Grid"/>
    <w:basedOn w:val="71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 w:customStyle="1">
    <w:name w:val="Table Grid Light"/>
    <w:basedOn w:val="71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 w:customStyle="1">
    <w:name w:val="Таблица простая 11"/>
    <w:basedOn w:val="71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 w:customStyle="1">
    <w:name w:val="Таблица простая 21"/>
    <w:basedOn w:val="71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Таблица простая 3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 w:customStyle="1">
    <w:name w:val="Таблица простая 4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Таблица простая 5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54" w:customStyle="1">
    <w:name w:val="Таблица-сетка 1 светл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Таблица-сетка 2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Grid Table 2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63" w:customStyle="1">
    <w:name w:val="Grid Table 2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4" w:customStyle="1">
    <w:name w:val="Grid Table 2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5" w:customStyle="1">
    <w:name w:val="Grid Table 2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6" w:customStyle="1">
    <w:name w:val="Grid Table 2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67" w:customStyle="1">
    <w:name w:val="Grid Table 2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68" w:customStyle="1">
    <w:name w:val="Таблица-сетка 3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9" w:customStyle="1">
    <w:name w:val="Grid Table 3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0" w:customStyle="1">
    <w:name w:val="Grid Table 3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1" w:customStyle="1">
    <w:name w:val="Grid Table 3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2" w:customStyle="1">
    <w:name w:val="Grid Table 3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3" w:customStyle="1">
    <w:name w:val="Grid Table 3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4" w:customStyle="1">
    <w:name w:val="Grid Table 3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75" w:customStyle="1">
    <w:name w:val="Таблица-сетка 41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76" w:customStyle="1">
    <w:name w:val="Grid Table 4 - Accent 1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77" w:customStyle="1">
    <w:name w:val="Grid Table 4 - Accent 2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78" w:customStyle="1">
    <w:name w:val="Grid Table 4 - Accent 3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79" w:customStyle="1">
    <w:name w:val="Grid Table 4 - Accent 4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80" w:customStyle="1">
    <w:name w:val="Grid Table 4 - Accent 5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81" w:customStyle="1">
    <w:name w:val="Grid Table 4 - Accent 6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82" w:customStyle="1">
    <w:name w:val="Таблица-сетка 5 тем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83" w:customStyle="1">
    <w:name w:val="Grid Table 5 Dark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84" w:customStyle="1">
    <w:name w:val="Grid Table 5 Dark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85" w:customStyle="1">
    <w:name w:val="Grid Table 5 Dark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86" w:customStyle="1">
    <w:name w:val="Grid Table 5 Dark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87" w:customStyle="1">
    <w:name w:val="Grid Table 5 Dark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88" w:customStyle="1">
    <w:name w:val="Grid Table 5 Dark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89" w:customStyle="1">
    <w:name w:val="Таблица-сетка 6 цвет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1" w:customStyle="1">
    <w:name w:val="Grid Table 6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2" w:customStyle="1">
    <w:name w:val="Grid Table 6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3" w:customStyle="1">
    <w:name w:val="Grid Table 6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4" w:customStyle="1">
    <w:name w:val="Grid Table 6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5" w:customStyle="1">
    <w:name w:val="Grid Table 6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Таблица-сетка 7 цвет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97" w:customStyle="1">
    <w:name w:val="Grid Table 7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98" w:customStyle="1">
    <w:name w:val="Grid Table 7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99" w:customStyle="1">
    <w:name w:val="Grid Table 7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0" w:customStyle="1">
    <w:name w:val="Grid Table 7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01" w:customStyle="1">
    <w:name w:val="Grid Table 7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02" w:customStyle="1">
    <w:name w:val="Grid Table 7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03" w:customStyle="1">
    <w:name w:val="Список-таблица 1 светл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04" w:customStyle="1">
    <w:name w:val="List Table 1 Light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05" w:customStyle="1">
    <w:name w:val="List Table 1 Light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06" w:customStyle="1">
    <w:name w:val="List Table 1 Light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07" w:customStyle="1">
    <w:name w:val="List Table 1 Light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08" w:customStyle="1">
    <w:name w:val="List Table 1 Light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09" w:customStyle="1">
    <w:name w:val="List Table 1 Light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0" w:customStyle="1">
    <w:name w:val="Список-таблица 2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11" w:customStyle="1">
    <w:name w:val="List Table 2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812" w:customStyle="1">
    <w:name w:val="List Table 2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13" w:customStyle="1">
    <w:name w:val="List Table 2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14" w:customStyle="1">
    <w:name w:val="List Table 2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15" w:customStyle="1">
    <w:name w:val="List Table 2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16" w:customStyle="1">
    <w:name w:val="List Table 2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17" w:customStyle="1">
    <w:name w:val="Список-таблица 3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Список-таблица 4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Список-таблица 5 тем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Список-таблица 6 цвет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39" w:customStyle="1">
    <w:name w:val="List Table 6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40" w:customStyle="1">
    <w:name w:val="List Table 6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41" w:customStyle="1">
    <w:name w:val="List Table 6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42" w:customStyle="1">
    <w:name w:val="List Table 6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43" w:customStyle="1">
    <w:name w:val="List Table 6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44" w:customStyle="1">
    <w:name w:val="List Table 6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45" w:customStyle="1">
    <w:name w:val="Список-таблица 7 цветная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6" w:customStyle="1">
    <w:name w:val="List Table 7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7" w:customStyle="1">
    <w:name w:val="List Table 7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8" w:customStyle="1">
    <w:name w:val="List Table 7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49" w:customStyle="1">
    <w:name w:val="List Table 7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50" w:customStyle="1">
    <w:name w:val="List Table 7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51" w:customStyle="1">
    <w:name w:val="List Table 7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52" w:customStyle="1">
    <w:name w:val="Lined - Accent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53" w:customStyle="1">
    <w:name w:val="Lined - Accent 1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54" w:customStyle="1">
    <w:name w:val="Lined - Accent 2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55" w:customStyle="1">
    <w:name w:val="Lined - Accent 3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56" w:customStyle="1">
    <w:name w:val="Lined - Accent 4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57" w:customStyle="1">
    <w:name w:val="Lined - Accent 5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58" w:customStyle="1">
    <w:name w:val="Lined - Accent 6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59" w:customStyle="1">
    <w:name w:val="Bordered &amp; Lined - Accent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60" w:customStyle="1">
    <w:name w:val="Bordered &amp; Lined - Accent 1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61" w:customStyle="1">
    <w:name w:val="Bordered &amp; Lined - Accent 2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62" w:customStyle="1">
    <w:name w:val="Bordered &amp; Lined - Accent 3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63" w:customStyle="1">
    <w:name w:val="Bordered &amp; Lined - Accent 4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64" w:customStyle="1">
    <w:name w:val="Bordered &amp; Lined - Accent 5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65" w:customStyle="1">
    <w:name w:val="Bordered &amp; Lined - Accent 6"/>
    <w:basedOn w:val="711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66" w:customStyle="1">
    <w:name w:val="Bordered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67" w:customStyle="1">
    <w:name w:val="Bordered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68" w:customStyle="1">
    <w:name w:val="Bordered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69" w:customStyle="1">
    <w:name w:val="Bordered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70" w:customStyle="1">
    <w:name w:val="Bordered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71" w:customStyle="1">
    <w:name w:val="Bordered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72" w:customStyle="1">
    <w:name w:val="Bordered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73">
    <w:name w:val="Hyperlink"/>
    <w:uiPriority w:val="99"/>
    <w:unhideWhenUsed/>
    <w:rPr>
      <w:color w:val="0000FF" w:themeColor="hyperlink"/>
      <w:u w:val="single"/>
    </w:rPr>
  </w:style>
  <w:style w:type="paragraph" w:styleId="874">
    <w:name w:val="footnote text"/>
    <w:basedOn w:val="707"/>
    <w:link w:val="875"/>
    <w:uiPriority w:val="99"/>
    <w:semiHidden/>
    <w:unhideWhenUsed/>
    <w:rPr>
      <w:rFonts w:asciiTheme="minorHAnsi" w:hAnsiTheme="minorHAnsi" w:eastAsiaTheme="minorHAnsi" w:cstheme="minorBidi"/>
      <w:sz w:val="18"/>
      <w:szCs w:val="22"/>
      <w:lang w:eastAsia="en-US"/>
    </w:rPr>
    <w:pPr>
      <w:spacing w:after="40"/>
    </w:p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basedOn w:val="710"/>
    <w:uiPriority w:val="99"/>
    <w:unhideWhenUsed/>
    <w:rPr>
      <w:vertAlign w:val="superscript"/>
    </w:rPr>
  </w:style>
  <w:style w:type="paragraph" w:styleId="877">
    <w:name w:val="endnote text"/>
    <w:basedOn w:val="707"/>
    <w:link w:val="878"/>
    <w:uiPriority w:val="99"/>
    <w:semiHidden/>
    <w:unhideWhenUsed/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basedOn w:val="710"/>
    <w:uiPriority w:val="99"/>
    <w:semiHidden/>
    <w:unhideWhenUsed/>
    <w:rPr>
      <w:vertAlign w:val="superscript"/>
    </w:rPr>
  </w:style>
  <w:style w:type="paragraph" w:styleId="880">
    <w:name w:val="toc 1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spacing w:lineRule="auto" w:line="276" w:after="57"/>
    </w:pPr>
  </w:style>
  <w:style w:type="paragraph" w:styleId="881">
    <w:name w:val="toc 2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283"/>
      <w:spacing w:lineRule="auto" w:line="276" w:after="57"/>
    </w:pPr>
  </w:style>
  <w:style w:type="paragraph" w:styleId="882">
    <w:name w:val="toc 3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567"/>
      <w:spacing w:lineRule="auto" w:line="276" w:after="57"/>
    </w:pPr>
  </w:style>
  <w:style w:type="paragraph" w:styleId="883">
    <w:name w:val="toc 4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850"/>
      <w:spacing w:lineRule="auto" w:line="276" w:after="57"/>
    </w:pPr>
  </w:style>
  <w:style w:type="paragraph" w:styleId="884">
    <w:name w:val="toc 5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1134"/>
      <w:spacing w:lineRule="auto" w:line="276" w:after="57"/>
    </w:pPr>
  </w:style>
  <w:style w:type="paragraph" w:styleId="885">
    <w:name w:val="toc 6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1417"/>
      <w:spacing w:lineRule="auto" w:line="276" w:after="57"/>
    </w:pPr>
  </w:style>
  <w:style w:type="paragraph" w:styleId="886">
    <w:name w:val="toc 7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1701"/>
      <w:spacing w:lineRule="auto" w:line="276" w:after="57"/>
    </w:pPr>
  </w:style>
  <w:style w:type="paragraph" w:styleId="887">
    <w:name w:val="toc 8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1984"/>
      <w:spacing w:lineRule="auto" w:line="276" w:after="57"/>
    </w:pPr>
  </w:style>
  <w:style w:type="paragraph" w:styleId="888">
    <w:name w:val="toc 9"/>
    <w:basedOn w:val="707"/>
    <w:next w:val="707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ind w:left="2268"/>
      <w:spacing w:lineRule="auto" w:line="276"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07"/>
    <w:next w:val="707"/>
    <w:uiPriority w:val="9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spacing w:lineRule="auto" w:line="276"/>
    </w:pPr>
  </w:style>
  <w:style w:type="paragraph" w:styleId="891" w:customStyle="1">
    <w:name w:val="ConsPlusNormal"/>
    <w:rPr>
      <w:rFonts w:ascii="Calibri" w:hAnsi="Calibri" w:cs="Calibri" w:eastAsiaTheme="minorEastAsia"/>
      <w:lang w:eastAsia="ru-RU"/>
    </w:rPr>
    <w:pPr>
      <w:spacing w:lineRule="auto" w:line="240" w:after="0"/>
      <w:widowControl w:val="off"/>
    </w:pPr>
  </w:style>
  <w:style w:type="paragraph" w:styleId="892" w:customStyle="1">
    <w:name w:val="ConsPlusNonformat"/>
    <w:rPr>
      <w:rFonts w:ascii="Courier New" w:hAnsi="Courier New" w:cs="Courier New" w:eastAsiaTheme="minorEastAsia"/>
      <w:sz w:val="20"/>
      <w:lang w:eastAsia="ru-RU"/>
    </w:rPr>
    <w:pPr>
      <w:spacing w:lineRule="auto" w:line="240" w:after="0"/>
      <w:widowControl w:val="off"/>
    </w:pPr>
  </w:style>
  <w:style w:type="paragraph" w:styleId="893" w:customStyle="1">
    <w:name w:val="ConsPlusTitle"/>
    <w:rPr>
      <w:rFonts w:ascii="Calibri" w:hAnsi="Calibri" w:cs="Calibri" w:eastAsiaTheme="minorEastAsia"/>
      <w:b/>
      <w:lang w:eastAsia="ru-RU"/>
    </w:rPr>
    <w:pPr>
      <w:spacing w:lineRule="auto" w:line="240" w:after="0"/>
      <w:widowControl w:val="off"/>
    </w:pPr>
  </w:style>
  <w:style w:type="paragraph" w:styleId="894" w:customStyle="1">
    <w:name w:val="ConsPlusCell"/>
    <w:rPr>
      <w:rFonts w:ascii="Courier New" w:hAnsi="Courier New" w:cs="Courier New" w:eastAsiaTheme="minorEastAsia"/>
      <w:sz w:val="20"/>
      <w:lang w:eastAsia="ru-RU"/>
    </w:rPr>
    <w:pPr>
      <w:spacing w:lineRule="auto" w:line="240" w:after="0"/>
      <w:widowControl w:val="off"/>
    </w:pPr>
  </w:style>
  <w:style w:type="paragraph" w:styleId="895" w:customStyle="1">
    <w:name w:val="ConsPlusDocList"/>
    <w:rPr>
      <w:rFonts w:ascii="Calibri" w:hAnsi="Calibri" w:cs="Calibri" w:eastAsiaTheme="minorEastAsia"/>
      <w:lang w:eastAsia="ru-RU"/>
    </w:rPr>
    <w:pPr>
      <w:spacing w:lineRule="auto" w:line="240" w:after="0"/>
      <w:widowControl w:val="off"/>
    </w:pPr>
  </w:style>
  <w:style w:type="paragraph" w:styleId="896" w:customStyle="1">
    <w:name w:val="ConsPlusTitlePage"/>
    <w:rPr>
      <w:rFonts w:ascii="Tahoma" w:hAnsi="Tahoma" w:cs="Tahoma" w:eastAsiaTheme="minorEastAsia"/>
      <w:sz w:val="20"/>
      <w:lang w:eastAsia="ru-RU"/>
    </w:rPr>
    <w:pPr>
      <w:spacing w:lineRule="auto" w:line="240" w:after="0"/>
      <w:widowControl w:val="off"/>
    </w:pPr>
  </w:style>
  <w:style w:type="paragraph" w:styleId="897" w:customStyle="1">
    <w:name w:val="ConsPlusJurTerm"/>
    <w:rPr>
      <w:rFonts w:ascii="Tahoma" w:hAnsi="Tahoma" w:cs="Tahoma" w:eastAsiaTheme="minorEastAsia"/>
      <w:sz w:val="26"/>
      <w:lang w:eastAsia="ru-RU"/>
    </w:rPr>
    <w:pPr>
      <w:spacing w:lineRule="auto" w:line="240" w:after="0"/>
      <w:widowControl w:val="off"/>
    </w:pPr>
  </w:style>
  <w:style w:type="paragraph" w:styleId="898" w:customStyle="1">
    <w:name w:val="ConsPlusTextList"/>
    <w:rPr>
      <w:rFonts w:ascii="Arial" w:hAnsi="Arial" w:cs="Arial" w:eastAsiaTheme="minorEastAsia"/>
      <w:sz w:val="20"/>
      <w:lang w:eastAsia="ru-RU"/>
    </w:rPr>
    <w:pPr>
      <w:spacing w:lineRule="auto" w:line="240" w:after="0"/>
      <w:widowControl w:val="off"/>
    </w:pPr>
  </w:style>
  <w:style w:type="paragraph" w:styleId="899">
    <w:name w:val="Header"/>
    <w:basedOn w:val="707"/>
    <w:link w:val="900"/>
    <w:uiPriority w:val="99"/>
    <w:unhideWhenUsed/>
    <w:rPr>
      <w:rFonts w:asciiTheme="minorHAnsi" w:hAnsiTheme="minorHAnsi" w:eastAsiaTheme="minorHAnsi" w:cstheme="minorBidi"/>
      <w:sz w:val="22"/>
      <w:szCs w:val="22"/>
      <w:lang w:eastAsia="en-US"/>
    </w:rPr>
    <w:pPr>
      <w:tabs>
        <w:tab w:val="center" w:pos="4677" w:leader="none"/>
        <w:tab w:val="right" w:pos="9355" w:leader="none"/>
      </w:tabs>
    </w:pPr>
  </w:style>
  <w:style w:type="character" w:styleId="900" w:customStyle="1">
    <w:name w:val="Верхний колонтитул Знак"/>
    <w:basedOn w:val="710"/>
    <w:link w:val="899"/>
    <w:uiPriority w:val="99"/>
  </w:style>
  <w:style w:type="paragraph" w:styleId="901">
    <w:name w:val="Footer"/>
    <w:basedOn w:val="707"/>
    <w:link w:val="90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2" w:customStyle="1">
    <w:name w:val="Нижний колонтитул Знак"/>
    <w:basedOn w:val="710"/>
    <w:link w:val="901"/>
    <w:uiPriority w:val="99"/>
    <w:semiHidden/>
  </w:style>
  <w:style w:type="paragraph" w:styleId="903" w:customStyle="1">
    <w:name w:val="formattext"/>
    <w:basedOn w:val="707"/>
    <w:pPr>
      <w:spacing w:after="100" w:afterAutospacing="1" w:before="100" w:beforeAutospacing="1"/>
    </w:pPr>
  </w:style>
  <w:style w:type="character" w:styleId="904" w:customStyle="1">
    <w:name w:val="Заголовок 3 Знак"/>
    <w:basedOn w:val="710"/>
    <w:link w:val="709"/>
    <w:rPr>
      <w:rFonts w:ascii="Times New Roman" w:hAnsi="Times New Roman" w:cs="Times New Roman" w:eastAsia="Times New Roman"/>
      <w:b/>
      <w:bCs/>
      <w:sz w:val="27"/>
      <w:szCs w:val="27"/>
      <w:lang w:eastAsia="ru-RU"/>
    </w:rPr>
  </w:style>
  <w:style w:type="paragraph" w:styleId="905" w:customStyle="1">
    <w:name w:val="formattext topleveltext"/>
    <w:basedOn w:val="707"/>
    <w:pPr>
      <w:spacing w:after="100" w:afterAutospacing="1" w:before="100" w:beforeAutospacing="1"/>
    </w:pPr>
  </w:style>
  <w:style w:type="paragraph" w:styleId="906">
    <w:name w:val="Normal (Web)"/>
    <w:basedOn w:val="707"/>
    <w:unhideWhenUsed/>
    <w:pPr>
      <w:spacing w:after="100" w:afterAutospacing="1" w:before="100" w:beforeAutospacing="1"/>
    </w:pPr>
  </w:style>
  <w:style w:type="paragraph" w:styleId="907" w:customStyle="1">
    <w:name w:val="s_1"/>
    <w:basedOn w:val="707"/>
    <w:pPr>
      <w:spacing w:after="100" w:afterAutospacing="1" w:before="100" w:beforeAutospacing="1"/>
    </w:pPr>
  </w:style>
  <w:style w:type="paragraph" w:styleId="908">
    <w:name w:val="Balloon Text"/>
    <w:basedOn w:val="707"/>
    <w:link w:val="909"/>
    <w:uiPriority w:val="99"/>
    <w:semiHidden/>
    <w:unhideWhenUsed/>
    <w:rPr>
      <w:rFonts w:ascii="Tahoma" w:hAnsi="Tahoma" w:cs="Tahoma" w:eastAsiaTheme="minorHAnsi"/>
      <w:sz w:val="16"/>
      <w:szCs w:val="16"/>
      <w:lang w:eastAsia="en-US"/>
    </w:rPr>
  </w:style>
  <w:style w:type="character" w:styleId="909" w:customStyle="1">
    <w:name w:val="Текст выноски Знак"/>
    <w:basedOn w:val="710"/>
    <w:link w:val="908"/>
    <w:uiPriority w:val="99"/>
    <w:semiHidden/>
    <w:rPr>
      <w:rFonts w:ascii="Tahoma" w:hAnsi="Tahoma" w:cs="Tahoma"/>
      <w:sz w:val="16"/>
      <w:szCs w:val="16"/>
    </w:rPr>
  </w:style>
  <w:style w:type="paragraph" w:styleId="910" w:customStyle="1">
    <w:name w:val="Нормальный (таблица)"/>
    <w:basedOn w:val="707"/>
    <w:next w:val="707"/>
    <w:uiPriority w:val="99"/>
    <w:rPr>
      <w:rFonts w:ascii="Arial" w:hAnsi="Arial" w:cs="Arial" w:eastAsiaTheme="minorEastAsia"/>
      <w:sz w:val="26"/>
      <w:szCs w:val="26"/>
    </w:rPr>
    <w:pPr>
      <w:jc w:val="both"/>
      <w:widowControl w:val="off"/>
    </w:pPr>
  </w:style>
  <w:style w:type="table" w:styleId="911" w:customStyle="1">
    <w:name w:val="Сетка таблицы3"/>
    <w:basedOn w:val="711"/>
    <w:next w:val="74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12" w:customStyle="1">
    <w:name w:val="Заголовок 1 Знак"/>
    <w:basedOn w:val="710"/>
    <w:link w:val="70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Знак Char Знак Знак Знак Знак Знак Знак Знак"/>
    <w:basedOn w:val="707"/>
    <w:rPr>
      <w:rFonts w:ascii="Verdana" w:hAnsi="Verdana" w:cs="Verdana"/>
      <w:sz w:val="20"/>
      <w:szCs w:val="20"/>
    </w:rPr>
    <w:pPr>
      <w:jc w:val="both"/>
      <w:spacing w:lineRule="exact" w:line="240" w:after="100" w:afterAutospacing="1" w:before="100" w:beforeAutospacing="1"/>
      <w:widowControl w:val="off"/>
      <w:tabs>
        <w:tab w:val="num" w:pos="360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4</cp:revision>
  <dcterms:created xsi:type="dcterms:W3CDTF">2025-12-12T10:38:00Z</dcterms:created>
  <dcterms:modified xsi:type="dcterms:W3CDTF">2025-12-28T09:05:04Z</dcterms:modified>
</cp:coreProperties>
</file>